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4B" w:rsidRPr="00561510" w:rsidRDefault="000A034B" w:rsidP="000A034B">
      <w:pPr>
        <w:pStyle w:val="NoSpacing"/>
        <w:ind w:left="1080"/>
      </w:pPr>
      <w:bookmarkStart w:id="0" w:name="_GoBack"/>
      <w:bookmarkEnd w:id="0"/>
      <w:r w:rsidRPr="00561510">
        <w:rPr>
          <w:noProof/>
        </w:rPr>
        <w:drawing>
          <wp:anchor distT="0" distB="0" distL="114300" distR="114300" simplePos="0" relativeHeight="251659264" behindDoc="0" locked="0" layoutInCell="1" allowOverlap="1" wp14:anchorId="4E698B24" wp14:editId="420BC32A">
            <wp:simplePos x="0" y="0"/>
            <wp:positionH relativeFrom="column">
              <wp:posOffset>-22961</wp:posOffset>
            </wp:positionH>
            <wp:positionV relativeFrom="paragraph">
              <wp:posOffset>36525</wp:posOffset>
            </wp:positionV>
            <wp:extent cx="2008022" cy="578808"/>
            <wp:effectExtent l="0" t="0" r="0" b="0"/>
            <wp:wrapNone/>
            <wp:docPr id="1" name="Picture 1" descr="Image result for ivy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vy te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8022" cy="5788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34B" w:rsidRDefault="000A034B" w:rsidP="000A034B">
      <w:pPr>
        <w:pStyle w:val="NoSpacing"/>
        <w:rPr>
          <w:rStyle w:val="Hyperlink"/>
        </w:rPr>
      </w:pPr>
    </w:p>
    <w:p w:rsidR="000A034B" w:rsidRPr="00561510" w:rsidRDefault="000A034B" w:rsidP="000A034B">
      <w:pPr>
        <w:pStyle w:val="NoSpacing"/>
        <w:rPr>
          <w:rStyle w:val="Hyperlink"/>
        </w:rPr>
      </w:pPr>
    </w:p>
    <w:p w:rsidR="000A034B" w:rsidRPr="00561510" w:rsidRDefault="000A034B" w:rsidP="000A034B">
      <w:pPr>
        <w:pStyle w:val="NormalWeb"/>
        <w:shd w:val="clear" w:color="auto" w:fill="FFFFFF"/>
        <w:rPr>
          <w:rFonts w:asciiTheme="minorHAnsi" w:hAnsiTheme="minorHAnsi"/>
          <w:color w:val="222222"/>
          <w:sz w:val="22"/>
          <w:szCs w:val="22"/>
        </w:rPr>
      </w:pPr>
      <w:r w:rsidRPr="00561510">
        <w:rPr>
          <w:rFonts w:asciiTheme="minorHAnsi" w:hAnsiTheme="minorHAnsi"/>
          <w:b/>
          <w:bCs/>
          <w:color w:val="3AC031"/>
          <w:sz w:val="22"/>
          <w:szCs w:val="22"/>
        </w:rPr>
        <w:t xml:space="preserve">Will Ivy Tech credits transfer? </w:t>
      </w:r>
      <w:r w:rsidRPr="00561510">
        <w:rPr>
          <w:rFonts w:ascii="MS Gothic" w:eastAsia="MS Gothic" w:hAnsi="MS Gothic" w:cs="MS Gothic" w:hint="eastAsia"/>
          <w:b/>
          <w:bCs/>
          <w:color w:val="3AC031"/>
          <w:sz w:val="22"/>
          <w:szCs w:val="22"/>
        </w:rPr>
        <w:t>  </w:t>
      </w:r>
    </w:p>
    <w:p w:rsidR="000A034B" w:rsidRPr="00561510" w:rsidRDefault="000A034B" w:rsidP="000A034B">
      <w:pPr>
        <w:pStyle w:val="NormalWeb"/>
        <w:shd w:val="clear" w:color="auto" w:fill="FFFFFF"/>
        <w:rPr>
          <w:rFonts w:asciiTheme="minorHAnsi" w:hAnsiTheme="minorHAnsi"/>
          <w:color w:val="222222"/>
          <w:sz w:val="22"/>
          <w:szCs w:val="22"/>
        </w:rPr>
      </w:pPr>
      <w:r w:rsidRPr="00561510">
        <w:rPr>
          <w:rFonts w:asciiTheme="minorHAnsi" w:hAnsiTheme="minorHAnsi"/>
          <w:color w:val="3AC031"/>
          <w:sz w:val="22"/>
          <w:szCs w:val="22"/>
        </w:rPr>
        <w:t>They will, and they do.</w:t>
      </w:r>
      <w:r w:rsidRPr="00561510">
        <w:rPr>
          <w:rFonts w:ascii="MS Gothic" w:eastAsia="MS Gothic" w:hAnsi="MS Gothic" w:cs="MS Gothic" w:hint="eastAsia"/>
          <w:color w:val="222222"/>
          <w:sz w:val="22"/>
          <w:szCs w:val="22"/>
        </w:rPr>
        <w:t>  </w:t>
      </w:r>
      <w:r w:rsidRPr="00561510">
        <w:rPr>
          <w:rFonts w:asciiTheme="minorHAnsi" w:hAnsiTheme="minorHAnsi"/>
          <w:color w:val="222222"/>
          <w:sz w:val="22"/>
          <w:szCs w:val="22"/>
        </w:rPr>
        <w:br/>
        <w:t>Ivy Tech Community College offers transfer partnerships with I.U., Purdue, Ball State, and many other colleges and universities, inside and outside Indiana. As huge tuition fees (and equally staggering student debts) are making national news, it’s no surprise that many students start at Ivy Tech, then transfer their credits on to four-year institutions. It’s a smart move that can save an individual student upward of $10,000. Collectively, students who start at Ivy Tech save themselves and their families nearly $35 million annually.</w:t>
      </w:r>
    </w:p>
    <w:p w:rsidR="000A034B" w:rsidRPr="00561510" w:rsidRDefault="000A034B" w:rsidP="000A034B">
      <w:pPr>
        <w:pStyle w:val="NormalWeb"/>
        <w:shd w:val="clear" w:color="auto" w:fill="FFFFFF"/>
        <w:rPr>
          <w:rFonts w:asciiTheme="minorHAnsi" w:hAnsiTheme="minorHAnsi"/>
          <w:color w:val="222222"/>
          <w:sz w:val="22"/>
          <w:szCs w:val="22"/>
        </w:rPr>
      </w:pPr>
      <w:r w:rsidRPr="00561510">
        <w:rPr>
          <w:rFonts w:asciiTheme="minorHAnsi" w:hAnsiTheme="minorHAnsi"/>
          <w:color w:val="3AC031"/>
          <w:sz w:val="22"/>
          <w:szCs w:val="22"/>
        </w:rPr>
        <w:t>2+2 Transfer Agreements</w:t>
      </w:r>
      <w:r w:rsidRPr="00561510">
        <w:rPr>
          <w:rStyle w:val="apple-converted-space"/>
          <w:rFonts w:asciiTheme="minorHAnsi" w:hAnsiTheme="minorHAnsi"/>
          <w:color w:val="3AC031"/>
          <w:sz w:val="22"/>
          <w:szCs w:val="22"/>
        </w:rPr>
        <w:t> </w:t>
      </w:r>
      <w:r w:rsidRPr="00561510">
        <w:rPr>
          <w:rFonts w:ascii="MS Gothic" w:eastAsia="MS Gothic" w:hAnsi="MS Gothic" w:cs="MS Gothic" w:hint="eastAsia"/>
          <w:color w:val="222222"/>
          <w:sz w:val="22"/>
          <w:szCs w:val="22"/>
        </w:rPr>
        <w:t>  </w:t>
      </w:r>
      <w:r w:rsidRPr="00561510">
        <w:rPr>
          <w:rFonts w:asciiTheme="minorHAnsi" w:hAnsiTheme="minorHAnsi"/>
          <w:color w:val="222222"/>
          <w:sz w:val="22"/>
          <w:szCs w:val="22"/>
        </w:rPr>
        <w:br/>
        <w:t>Ivy Tech</w:t>
      </w:r>
      <w:r w:rsidRPr="00561510">
        <w:rPr>
          <w:rFonts w:asciiTheme="minorHAnsi" w:hAnsiTheme="minorHAnsi" w:cs="Verdana"/>
          <w:color w:val="222222"/>
          <w:sz w:val="22"/>
          <w:szCs w:val="22"/>
        </w:rPr>
        <w:t>’</w:t>
      </w:r>
      <w:r w:rsidRPr="00561510">
        <w:rPr>
          <w:rFonts w:asciiTheme="minorHAnsi" w:hAnsiTheme="minorHAnsi"/>
          <w:color w:val="222222"/>
          <w:sz w:val="22"/>
          <w:szCs w:val="22"/>
        </w:rPr>
        <w:t>s 2+2 Transfer Agreements promote seamless transfer from two-year to four-year degree programs. Students obtain their associate degree at Ivy Tech, then transfer elsewhere to complete their bachelor’s degree.</w:t>
      </w:r>
    </w:p>
    <w:p w:rsidR="000A034B" w:rsidRPr="00561510" w:rsidRDefault="000A034B" w:rsidP="000A034B">
      <w:pPr>
        <w:pStyle w:val="NormalWeb"/>
        <w:shd w:val="clear" w:color="auto" w:fill="FFFFFF"/>
        <w:rPr>
          <w:rFonts w:asciiTheme="minorHAnsi" w:hAnsiTheme="minorHAnsi"/>
          <w:color w:val="222222"/>
          <w:sz w:val="22"/>
          <w:szCs w:val="22"/>
        </w:rPr>
      </w:pPr>
      <w:r w:rsidRPr="00561510">
        <w:rPr>
          <w:rFonts w:asciiTheme="minorHAnsi" w:hAnsiTheme="minorHAnsi"/>
          <w:color w:val="3AC031"/>
          <w:sz w:val="22"/>
          <w:szCs w:val="22"/>
        </w:rPr>
        <w:t>General Education Core</w:t>
      </w:r>
      <w:r w:rsidRPr="00561510">
        <w:rPr>
          <w:rFonts w:asciiTheme="minorHAnsi" w:hAnsiTheme="minorHAnsi"/>
          <w:color w:val="222222"/>
          <w:sz w:val="22"/>
          <w:szCs w:val="22"/>
        </w:rPr>
        <w:br/>
        <w:t>Our</w:t>
      </w:r>
      <w:r w:rsidRPr="00561510">
        <w:rPr>
          <w:rStyle w:val="apple-converted-space"/>
          <w:rFonts w:asciiTheme="minorHAnsi" w:hAnsiTheme="minorHAnsi"/>
          <w:color w:val="222222"/>
          <w:sz w:val="22"/>
          <w:szCs w:val="22"/>
        </w:rPr>
        <w:t> </w:t>
      </w:r>
      <w:hyperlink r:id="rId5" w:tgtFrame="_blank" w:history="1">
        <w:r w:rsidRPr="00561510">
          <w:rPr>
            <w:rStyle w:val="Hyperlink"/>
            <w:rFonts w:asciiTheme="minorHAnsi" w:hAnsiTheme="minorHAnsi"/>
            <w:color w:val="1155CC"/>
            <w:sz w:val="22"/>
            <w:szCs w:val="22"/>
          </w:rPr>
          <w:t>Transfer General Education Core</w:t>
        </w:r>
      </w:hyperlink>
      <w:r w:rsidRPr="00561510">
        <w:rPr>
          <w:rStyle w:val="apple-converted-space"/>
          <w:rFonts w:asciiTheme="minorHAnsi" w:hAnsiTheme="minorHAnsi"/>
          <w:color w:val="222222"/>
          <w:sz w:val="22"/>
          <w:szCs w:val="22"/>
        </w:rPr>
        <w:t> </w:t>
      </w:r>
      <w:r w:rsidRPr="00561510">
        <w:rPr>
          <w:rFonts w:asciiTheme="minorHAnsi" w:hAnsiTheme="minorHAnsi"/>
          <w:color w:val="222222"/>
          <w:sz w:val="22"/>
          <w:szCs w:val="22"/>
        </w:rPr>
        <w:t>(or TGEC) pathway provides students with a solid core of General Education classes, and is guaranteed to transfer to in-state baccalaureate-degree granting institutions.</w:t>
      </w:r>
    </w:p>
    <w:p w:rsidR="000A034B" w:rsidRPr="00561510" w:rsidRDefault="000A034B" w:rsidP="000A034B">
      <w:pPr>
        <w:pStyle w:val="NormalWeb"/>
        <w:shd w:val="clear" w:color="auto" w:fill="FFFFFF"/>
        <w:rPr>
          <w:rFonts w:asciiTheme="minorHAnsi" w:hAnsiTheme="minorHAnsi"/>
          <w:color w:val="222222"/>
          <w:sz w:val="22"/>
          <w:szCs w:val="22"/>
        </w:rPr>
      </w:pPr>
      <w:r w:rsidRPr="00561510">
        <w:rPr>
          <w:rFonts w:asciiTheme="minorHAnsi" w:hAnsiTheme="minorHAnsi"/>
          <w:color w:val="3AC031"/>
          <w:sz w:val="22"/>
          <w:szCs w:val="22"/>
        </w:rPr>
        <w:t>Hundreds of other transfer possibilities</w:t>
      </w:r>
      <w:r w:rsidRPr="00561510">
        <w:rPr>
          <w:rFonts w:ascii="MS Gothic" w:eastAsia="MS Gothic" w:hAnsi="MS Gothic" w:cs="MS Gothic" w:hint="eastAsia"/>
          <w:color w:val="222222"/>
          <w:sz w:val="22"/>
          <w:szCs w:val="22"/>
        </w:rPr>
        <w:t>  </w:t>
      </w:r>
      <w:r w:rsidRPr="00561510">
        <w:rPr>
          <w:rFonts w:asciiTheme="minorHAnsi" w:hAnsiTheme="minorHAnsi"/>
          <w:color w:val="222222"/>
          <w:sz w:val="22"/>
          <w:szCs w:val="22"/>
        </w:rPr>
        <w:br/>
        <w:t>Learn more about all of our</w:t>
      </w:r>
      <w:r w:rsidRPr="00561510">
        <w:rPr>
          <w:rStyle w:val="apple-converted-space"/>
          <w:rFonts w:asciiTheme="minorHAnsi" w:hAnsiTheme="minorHAnsi"/>
          <w:color w:val="222222"/>
          <w:sz w:val="22"/>
          <w:szCs w:val="22"/>
        </w:rPr>
        <w:t> </w:t>
      </w:r>
      <w:hyperlink r:id="rId6" w:tgtFrame="_blank" w:history="1">
        <w:r w:rsidRPr="00561510">
          <w:rPr>
            <w:rStyle w:val="Hyperlink"/>
            <w:rFonts w:asciiTheme="minorHAnsi" w:hAnsiTheme="minorHAnsi"/>
            <w:color w:val="1155CC"/>
            <w:sz w:val="22"/>
            <w:szCs w:val="22"/>
          </w:rPr>
          <w:t>transfer</w:t>
        </w:r>
      </w:hyperlink>
      <w:r w:rsidRPr="00561510">
        <w:rPr>
          <w:rStyle w:val="apple-converted-space"/>
          <w:rFonts w:asciiTheme="minorHAnsi" w:hAnsiTheme="minorHAnsi"/>
          <w:color w:val="222222"/>
          <w:sz w:val="22"/>
          <w:szCs w:val="22"/>
        </w:rPr>
        <w:t> </w:t>
      </w:r>
      <w:r w:rsidRPr="00561510">
        <w:rPr>
          <w:rFonts w:asciiTheme="minorHAnsi" w:hAnsiTheme="minorHAnsi"/>
          <w:color w:val="222222"/>
          <w:sz w:val="22"/>
          <w:szCs w:val="22"/>
        </w:rPr>
        <w:t>options—including Distance Education Transfer Programs, Course-To-Course Transfer, Concurrent Admission and Bridge Programs, and Associate of Applied Science (AAS) Transfer opportunities.</w:t>
      </w:r>
    </w:p>
    <w:p w:rsidR="000A034B" w:rsidRPr="00561510" w:rsidRDefault="000A034B" w:rsidP="000A034B">
      <w:pPr>
        <w:pStyle w:val="NoSpacing"/>
      </w:pPr>
    </w:p>
    <w:p w:rsidR="000A034B" w:rsidRDefault="000A034B" w:rsidP="000A034B">
      <w:pPr>
        <w:pStyle w:val="NoSpacing"/>
      </w:pPr>
    </w:p>
    <w:p w:rsidR="000A034B" w:rsidRPr="00561510" w:rsidRDefault="000A034B" w:rsidP="000A034B">
      <w:pPr>
        <w:pStyle w:val="NoSpacing"/>
      </w:pPr>
    </w:p>
    <w:p w:rsidR="000A034B" w:rsidRPr="00561510" w:rsidRDefault="000A034B" w:rsidP="000A034B">
      <w:pPr>
        <w:pStyle w:val="NoSpacing"/>
      </w:pPr>
    </w:p>
    <w:p w:rsidR="000A034B" w:rsidRPr="00B426EE" w:rsidRDefault="000A034B" w:rsidP="000A034B">
      <w:pPr>
        <w:pStyle w:val="NoSpacing"/>
        <w:rPr>
          <w:sz w:val="24"/>
          <w:szCs w:val="24"/>
        </w:rPr>
      </w:pPr>
    </w:p>
    <w:p w:rsidR="00C113D5" w:rsidRDefault="000A034B"/>
    <w:sectPr w:rsidR="00C11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4B"/>
    <w:rsid w:val="000A034B"/>
    <w:rsid w:val="004B0C0C"/>
    <w:rsid w:val="00D1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5312"/>
  <w15:chartTrackingRefBased/>
  <w15:docId w15:val="{22FB2293-F07C-4E0E-9248-A54DC82D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3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34B"/>
    <w:pPr>
      <w:spacing w:after="0" w:line="240" w:lineRule="auto"/>
    </w:pPr>
  </w:style>
  <w:style w:type="character" w:styleId="Hyperlink">
    <w:name w:val="Hyperlink"/>
    <w:basedOn w:val="DefaultParagraphFont"/>
    <w:uiPriority w:val="99"/>
    <w:unhideWhenUsed/>
    <w:rsid w:val="000A034B"/>
    <w:rPr>
      <w:color w:val="0563C1" w:themeColor="hyperlink"/>
      <w:u w:val="single"/>
    </w:rPr>
  </w:style>
  <w:style w:type="paragraph" w:styleId="NormalWeb">
    <w:name w:val="Normal (Web)"/>
    <w:basedOn w:val="Normal"/>
    <w:uiPriority w:val="99"/>
    <w:semiHidden/>
    <w:unhideWhenUsed/>
    <w:rsid w:val="000A0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e.ivytech.edu/rts/go2.aspx?h=67182&amp;tp=i-H43-5M-6cr-3CXxT-1q-54uV-1c-3CWbb-14eEpZ" TargetMode="External"/><Relationship Id="rId5" Type="http://schemas.openxmlformats.org/officeDocument/2006/relationships/hyperlink" Target="http://links.e.ivytech.edu/rts/go2.aspx?h=67181&amp;tp=i-H43-5M-6cr-3CXxT-1q-54uV-1c-3CWbb-14eEp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Martinez</dc:creator>
  <cp:keywords/>
  <dc:description/>
  <cp:lastModifiedBy>Lorenzo Martinez</cp:lastModifiedBy>
  <cp:revision>1</cp:revision>
  <dcterms:created xsi:type="dcterms:W3CDTF">2016-10-04T04:01:00Z</dcterms:created>
  <dcterms:modified xsi:type="dcterms:W3CDTF">2016-10-04T04:01:00Z</dcterms:modified>
</cp:coreProperties>
</file>